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872B" w14:textId="267264E6" w:rsidR="00BC4C46" w:rsidRPr="00BC4C46" w:rsidRDefault="00BC4C46" w:rsidP="00BC4C46">
      <w:pPr>
        <w:pStyle w:val="OZNPROJEKTUwskazaniedatylubwersjiprojektu"/>
      </w:pPr>
      <w:r w:rsidRPr="00BC4C46">
        <w:t xml:space="preserve">Projekt z dnia </w:t>
      </w:r>
      <w:r w:rsidR="0043503F">
        <w:t>2</w:t>
      </w:r>
      <w:r w:rsidR="006C0AC7">
        <w:t>8</w:t>
      </w:r>
      <w:r w:rsidR="007565BA">
        <w:t>.0</w:t>
      </w:r>
      <w:r w:rsidR="006C0AC7">
        <w:t>6</w:t>
      </w:r>
      <w:r w:rsidR="007565BA">
        <w:t>.2022 r.</w:t>
      </w:r>
    </w:p>
    <w:p w14:paraId="3B022DB3" w14:textId="77777777" w:rsidR="00BC4C46" w:rsidRPr="00BC4C46" w:rsidRDefault="00BC4C46" w:rsidP="00BC4C46">
      <w:pPr>
        <w:pStyle w:val="OZNRODZAKTUtznustawalubrozporzdzenieiorganwydajcy"/>
      </w:pPr>
      <w:r w:rsidRPr="00BC4C46">
        <w:t xml:space="preserve">ROZPORZĄDZENIE </w:t>
      </w:r>
    </w:p>
    <w:p w14:paraId="5DA004E4" w14:textId="77777777" w:rsidR="00BC4C46" w:rsidRPr="00BC4C46" w:rsidRDefault="00BC4C46" w:rsidP="00BC4C46">
      <w:pPr>
        <w:pStyle w:val="OZNRODZAKTUtznustawalubrozporzdzenieiorganwydajcy"/>
      </w:pPr>
      <w:r w:rsidRPr="00BC4C46">
        <w:t>MINISTRA KLIMATU I ŚRODOWISKA</w:t>
      </w:r>
      <w:r w:rsidRPr="00BC4C46">
        <w:rPr>
          <w:rStyle w:val="IGPindeksgrnyipogrubienie"/>
        </w:rPr>
        <w:footnoteReference w:id="1"/>
      </w:r>
      <w:r w:rsidRPr="00BC4C46">
        <w:rPr>
          <w:rStyle w:val="IGPindeksgrnyipogrubienie"/>
        </w:rPr>
        <w:t>)</w:t>
      </w:r>
    </w:p>
    <w:p w14:paraId="5EE88900" w14:textId="3A931404" w:rsidR="00BC4C46" w:rsidRPr="00BC4C46" w:rsidRDefault="00BC4C46" w:rsidP="00BC4C46">
      <w:pPr>
        <w:pStyle w:val="DATAAKTUdatauchwalenialubwydaniaaktu"/>
      </w:pPr>
      <w:r w:rsidRPr="00BC4C46">
        <w:t>z dnia ……………………… 202</w:t>
      </w:r>
      <w:r w:rsidR="003E0C1F">
        <w:t>2</w:t>
      </w:r>
      <w:r w:rsidRPr="00BC4C46">
        <w:t xml:space="preserve"> r.</w:t>
      </w:r>
    </w:p>
    <w:p w14:paraId="19DCAD9A" w14:textId="77777777" w:rsidR="00BC4C46" w:rsidRPr="00BC4C46" w:rsidRDefault="00BC4C46" w:rsidP="00BC4C46">
      <w:pPr>
        <w:pStyle w:val="TYTUAKTUprzedmiotregulacjiustawylubrozporzdzenia"/>
      </w:pPr>
      <w:r w:rsidRPr="00BC4C46">
        <w:t>w sprawie wymagań dobrej praktyki w zakresie gospodarki leśnej</w:t>
      </w:r>
    </w:p>
    <w:p w14:paraId="41FCB64D" w14:textId="77777777" w:rsidR="00BC4C46" w:rsidRPr="00BC4C46" w:rsidRDefault="00BC4C46" w:rsidP="00BC4C46">
      <w:pPr>
        <w:pStyle w:val="NIEARTTEKSTtekstnieartykuowanynppodstprawnarozplubpreambua"/>
      </w:pPr>
    </w:p>
    <w:p w14:paraId="16EA7B25" w14:textId="401EE6AE" w:rsidR="00BC4C46" w:rsidRPr="00BC4C46" w:rsidRDefault="00BC4C46" w:rsidP="00BC4C46">
      <w:pPr>
        <w:pStyle w:val="NIEARTTEKSTtekstnieartykuowanynppodstprawnarozplubpreambua"/>
      </w:pPr>
      <w:r w:rsidRPr="00BC4C46">
        <w:tab/>
        <w:t>Na podstawie art. 52b ust. 3 ustawy z dnia 16 kwietnia 2004 r. o ochronie przyrody</w:t>
      </w:r>
      <w:r w:rsidRPr="00BC4C46">
        <w:br/>
        <w:t>(Dz. U. z 202</w:t>
      </w:r>
      <w:r w:rsidR="000653BB">
        <w:t>2 poz. 916</w:t>
      </w:r>
      <w:r w:rsidRPr="00BC4C46">
        <w:t>) zarządza się, co następuje:</w:t>
      </w:r>
    </w:p>
    <w:p w14:paraId="3C8305BF" w14:textId="09004A87" w:rsidR="00BC4C46" w:rsidRPr="00BC4C46" w:rsidRDefault="00BC4C46" w:rsidP="00BC4C46">
      <w:pPr>
        <w:pStyle w:val="ARTartustawynprozporzdzenia"/>
      </w:pPr>
      <w:r w:rsidRPr="00957D66">
        <w:rPr>
          <w:rStyle w:val="Ppogrubienie"/>
        </w:rPr>
        <w:t>§ 1.</w:t>
      </w:r>
      <w:r w:rsidR="00957D66">
        <w:tab/>
      </w:r>
      <w:r w:rsidRPr="00BC4C46">
        <w:t>Wymagania dobrej praktyki w zakresie gospodarki leśnej obejmują etap przygotowawczy oraz etap  realizacji działań z zakresu gospodarki leśnej.</w:t>
      </w:r>
    </w:p>
    <w:p w14:paraId="098038EC" w14:textId="55E2E006" w:rsidR="00BC4C46" w:rsidRPr="00BC4C46" w:rsidRDefault="00BC4C46" w:rsidP="00BC4C46">
      <w:pPr>
        <w:pStyle w:val="ARTartustawynprozporzdzenia"/>
      </w:pPr>
      <w:r w:rsidRPr="00957D66">
        <w:rPr>
          <w:rStyle w:val="Ppogrubienie"/>
        </w:rPr>
        <w:t>§ 2.</w:t>
      </w:r>
      <w:r w:rsidRPr="00BC4C46">
        <w:t xml:space="preserve"> 1.</w:t>
      </w:r>
      <w:r w:rsidR="00957D66">
        <w:tab/>
      </w:r>
      <w:r w:rsidRPr="00BC4C46">
        <w:t>Właściciel lasu lub wyznaczona przez niego osoba w ramach etapu przygotowawczego:</w:t>
      </w:r>
    </w:p>
    <w:p w14:paraId="1714629F" w14:textId="01ADD0AF" w:rsidR="00BC4C46" w:rsidRPr="00BC4C46" w:rsidRDefault="003F2259" w:rsidP="003F2259">
      <w:pPr>
        <w:pStyle w:val="PKTpunkt"/>
      </w:pPr>
      <w:r>
        <w:t>1)</w:t>
      </w:r>
      <w:r>
        <w:tab/>
      </w:r>
      <w:r w:rsidR="00F42542">
        <w:t xml:space="preserve">planując </w:t>
      </w:r>
      <w:r w:rsidR="00BC4C46" w:rsidRPr="00BC4C46">
        <w:t>działania z zakresu gospodarki leśnej uwzględnia potrzebę zachowania zróżnicowania faz rozwojowych drzewostanów</w:t>
      </w:r>
      <w:r w:rsidR="000A5450">
        <w:t xml:space="preserve"> </w:t>
      </w:r>
      <w:r w:rsidR="007565BA">
        <w:t>w lesie</w:t>
      </w:r>
      <w:r w:rsidR="00AA3322">
        <w:t>,</w:t>
      </w:r>
      <w:r w:rsidR="007565BA">
        <w:t xml:space="preserve"> </w:t>
      </w:r>
      <w:r w:rsidR="00BC4C46" w:rsidRPr="00BC4C46">
        <w:t xml:space="preserve">dla którego </w:t>
      </w:r>
      <w:r w:rsidR="00AA3322">
        <w:t>sporządza się</w:t>
      </w:r>
      <w:r w:rsidR="00BC4C46" w:rsidRPr="00BC4C46">
        <w:t xml:space="preserve"> plan urządzenia lasu, up</w:t>
      </w:r>
      <w:r w:rsidR="00544EFE">
        <w:t>roszony plan urządzenia lasu albo</w:t>
      </w:r>
      <w:r w:rsidR="00BC4C46" w:rsidRPr="00BC4C46">
        <w:t xml:space="preserve"> inwentaryzacja stanu lasu</w:t>
      </w:r>
      <w:r w:rsidR="00544EFE">
        <w:t xml:space="preserve"> i</w:t>
      </w:r>
      <w:r w:rsidR="00BC4C46" w:rsidRPr="00BC4C46">
        <w:t xml:space="preserve"> w który</w:t>
      </w:r>
      <w:r w:rsidR="007565BA">
        <w:t>m</w:t>
      </w:r>
      <w:r w:rsidR="00A55708">
        <w:t xml:space="preserve"> będą prowadzone </w:t>
      </w:r>
      <w:r w:rsidR="00BC4C46" w:rsidRPr="00BC4C46">
        <w:t>te działania;</w:t>
      </w:r>
    </w:p>
    <w:p w14:paraId="041819AC" w14:textId="77989BD6" w:rsidR="00BC4C46" w:rsidRPr="00BC4C46" w:rsidRDefault="003F2259" w:rsidP="003F2259">
      <w:pPr>
        <w:pStyle w:val="PKTpunkt"/>
      </w:pPr>
      <w:r>
        <w:t>2)</w:t>
      </w:r>
      <w:r>
        <w:tab/>
      </w:r>
      <w:r w:rsidR="00BC4C46" w:rsidRPr="00BC4C46">
        <w:t>przed przystąpieniem do działań z zakresu gospodarki leśnej:</w:t>
      </w:r>
    </w:p>
    <w:p w14:paraId="2B9D9FE5" w14:textId="1490A690" w:rsidR="00BC4C46" w:rsidRPr="00BC4C46" w:rsidRDefault="003F2259" w:rsidP="003F2259">
      <w:pPr>
        <w:pStyle w:val="LITlitera"/>
      </w:pPr>
      <w:r>
        <w:t>a)</w:t>
      </w:r>
      <w:r>
        <w:tab/>
      </w:r>
      <w:r w:rsidR="00BC4C46" w:rsidRPr="00BC4C46">
        <w:t>dokonuje przeglądu dostępnych danych w celu sprawdzenia występowania gatunków wymienionych w załączniku IV dyrektywy Rady 92/43/EWG z dnia 21 maja 1992 r. w sprawie ochrony siedlisk przyrodniczych oraz dzikiej fauny i flory</w:t>
      </w:r>
      <w:r w:rsidR="00BC4C46" w:rsidRPr="00BC4C46" w:rsidDel="003A69D8">
        <w:t xml:space="preserve"> </w:t>
      </w:r>
      <w:r w:rsidR="00BC4C46" w:rsidRPr="00BC4C46">
        <w:t>(Dz. Urz. WE L 206 z 22.07.1992, str. 7 – Dz. Urz. UE Polskie wydanie specjalne, rozdz. 15, t. 2, str. 102, z późn. zm.</w:t>
      </w:r>
      <w:r w:rsidR="00BC4C46" w:rsidRPr="005E7FE7">
        <w:rPr>
          <w:rStyle w:val="IGindeksgrny"/>
        </w:rPr>
        <w:footnoteReference w:id="2"/>
      </w:r>
      <w:r w:rsidR="00BC4C46" w:rsidRPr="005E7FE7">
        <w:rPr>
          <w:rStyle w:val="IGindeksgrny"/>
        </w:rPr>
        <w:t>)</w:t>
      </w:r>
      <w:r w:rsidR="00BC4C46" w:rsidRPr="00BC4C46">
        <w:t>)</w:t>
      </w:r>
      <w:r w:rsidR="00EF5982">
        <w:t xml:space="preserve">, zwanej dalej </w:t>
      </w:r>
      <w:r w:rsidR="00EF5982" w:rsidRPr="002575F7">
        <w:t>„</w:t>
      </w:r>
      <w:r w:rsidR="00EF5982">
        <w:t>dyrektywą Rady 92/43/EWG</w:t>
      </w:r>
      <w:r w:rsidR="00EF5982" w:rsidRPr="00EF5982">
        <w:t>”</w:t>
      </w:r>
      <w:r w:rsidR="00EF5982">
        <w:t>,</w:t>
      </w:r>
      <w:r w:rsidR="00BC4C46" w:rsidRPr="00BC4C46">
        <w:t xml:space="preserve"> oraz gatunków ptaków </w:t>
      </w:r>
      <w:r w:rsidR="00FA3E73">
        <w:t xml:space="preserve">objętych ochroną </w:t>
      </w:r>
      <w:r w:rsidR="00BC4C46" w:rsidRPr="00BC4C46">
        <w:t xml:space="preserve">lub potencjalnych miejsc ich występowania </w:t>
      </w:r>
      <w:r w:rsidR="00544EFE">
        <w:t xml:space="preserve">w lesie, w który </w:t>
      </w:r>
      <w:r w:rsidR="00BC4C46" w:rsidRPr="00BC4C46">
        <w:t>będą prowadzone te działania,</w:t>
      </w:r>
    </w:p>
    <w:p w14:paraId="590BE7CF" w14:textId="578E34F3" w:rsidR="00BC4C46" w:rsidRPr="00BC4C46" w:rsidRDefault="003F2259" w:rsidP="003F2259">
      <w:pPr>
        <w:pStyle w:val="LITlitera"/>
      </w:pPr>
      <w:r>
        <w:lastRenderedPageBreak/>
        <w:t>b)</w:t>
      </w:r>
      <w:r>
        <w:tab/>
      </w:r>
      <w:r w:rsidR="00BC4C46" w:rsidRPr="00BC4C46">
        <w:t xml:space="preserve">przeprowadza wizję terenową </w:t>
      </w:r>
      <w:r w:rsidR="00544EFE">
        <w:t xml:space="preserve">w lesie, w którym będą prowadzone </w:t>
      </w:r>
      <w:r w:rsidR="00BC4C46" w:rsidRPr="00BC4C46">
        <w:t xml:space="preserve">te działania, w celu sprawdzenia występowania gatunków wymienionych w załączniku IV dyrektywy Rady 92/43/EWG oraz gatunków ptaków </w:t>
      </w:r>
      <w:r w:rsidR="00432DA4">
        <w:t xml:space="preserve">objętych ochroną </w:t>
      </w:r>
      <w:r w:rsidR="00BC4C46" w:rsidRPr="00BC4C46">
        <w:t xml:space="preserve">lub potencjalnych miejsc ich występowania, w terminie nie wcześniejszym niż dwa tygodnie przed przystąpieniem do tych działań, przy czym, jeżeli właściciel lasu nie posiada co najmniej tytułu zawodowego licencjata, inżyniera albo równorzędnego potwierdzającego wykształcenie wyższe z zakresu nauk leśnych lub nauk biologicznych lub nie posiada minimum 2 letniego doświadczenia w zawodzie </w:t>
      </w:r>
      <w:r w:rsidR="007565BA">
        <w:t>leśnika</w:t>
      </w:r>
      <w:r w:rsidR="0077341E">
        <w:t>,</w:t>
      </w:r>
      <w:r w:rsidR="00BC4C46" w:rsidRPr="00BC4C46">
        <w:t xml:space="preserve"> lub nie posiada doświadczenia w zakresie wykonywania terenowych inwentaryzacji przyrodniczych, wizję terenową przeprowadza przy udziale osoby posiadającej takie wykształcenie lub doświadczenie, </w:t>
      </w:r>
    </w:p>
    <w:p w14:paraId="38C8E550" w14:textId="6206CBBF" w:rsidR="00BC4C46" w:rsidRPr="00BC4C46" w:rsidRDefault="003F2259" w:rsidP="003F2259">
      <w:pPr>
        <w:pStyle w:val="LITlitera"/>
      </w:pPr>
      <w:r>
        <w:t>c)</w:t>
      </w:r>
      <w:r>
        <w:tab/>
      </w:r>
      <w:r w:rsidR="00BC4C46" w:rsidRPr="00BC4C46">
        <w:t>oznakowuje:</w:t>
      </w:r>
    </w:p>
    <w:p w14:paraId="0E12043C" w14:textId="575F79E3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 xml:space="preserve">drzewa dziuplaste oraz drzewa z gniazdami ptaków o średnicy powyżej 25 cm (gniazda wieloletnie) – przez naniesienie </w:t>
      </w:r>
      <w:r w:rsidR="005E7FE7">
        <w:t xml:space="preserve">przy użyciu </w:t>
      </w:r>
      <w:r w:rsidRPr="00BC4C46">
        <w:t>farby do znakowania drzew oznaczenia na pniu drzewa; oznaczenie należy pozostawić do samoistnego zaniku,</w:t>
      </w:r>
    </w:p>
    <w:p w14:paraId="643920ED" w14:textId="059237DB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 xml:space="preserve">inne niż wskazane w tiret pierwsze stanowiska lęgowe ptaków (gniazda jednoroczne) – w sposób zapewniający </w:t>
      </w:r>
      <w:r w:rsidR="00432DA4">
        <w:t xml:space="preserve">możliwość rozpoznania </w:t>
      </w:r>
      <w:r w:rsidRPr="00BC4C46">
        <w:t>tych stanowisk przez wykonawcę działań z zakresu gospodarki leśnej; oznaczenie należy pozostawić do zakończenia tych działań lub wyprowadzenia lęgu,</w:t>
      </w:r>
    </w:p>
    <w:p w14:paraId="7EB10799" w14:textId="583CAB84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>inne niż wskazane w tiret pierwsze i drugie stanowiska, na których występują gatunki wymienione  w załączniku IV dyrektywy Rady 92/43/EWG oraz gatunki ptaków</w:t>
      </w:r>
      <w:r w:rsidR="009519ED">
        <w:t xml:space="preserve"> objętych ochroną</w:t>
      </w:r>
      <w:r w:rsidRPr="00BC4C46">
        <w:t xml:space="preserve">, w sposób zapewniający </w:t>
      </w:r>
      <w:r w:rsidR="00432DA4">
        <w:t xml:space="preserve">możliwość rozpoznania </w:t>
      </w:r>
      <w:r w:rsidRPr="00BC4C46">
        <w:t>tych stanowisk przez wykonawcę działań z zakresu gospodarki leśnej; oznaczenie należy pozostawić do zakończenia tych działań.</w:t>
      </w:r>
    </w:p>
    <w:p w14:paraId="687D812D" w14:textId="77777777" w:rsidR="00BC4C46" w:rsidRPr="00BC4C46" w:rsidRDefault="00BC4C46" w:rsidP="003F2259">
      <w:pPr>
        <w:pStyle w:val="USTustnpkodeksu"/>
      </w:pPr>
      <w:r w:rsidRPr="00BC4C46">
        <w:t>2. Właściciel lasu może odstąpić:</w:t>
      </w:r>
    </w:p>
    <w:p w14:paraId="31D17A48" w14:textId="11E23EFD" w:rsidR="00BC4C46" w:rsidRPr="00BC4C46" w:rsidRDefault="00BC4C46" w:rsidP="003F2259">
      <w:pPr>
        <w:pStyle w:val="PKTpunkt"/>
      </w:pPr>
      <w:r w:rsidRPr="00BC4C46">
        <w:t xml:space="preserve">1) </w:t>
      </w:r>
      <w:r w:rsidR="00DD6361">
        <w:tab/>
      </w:r>
      <w:r w:rsidRPr="00BC4C46">
        <w:t xml:space="preserve">od przeglądu, o którym mowa w ust. 1 pkt 2 lit. a, jeżeli </w:t>
      </w:r>
      <w:r w:rsidR="00B56FB6">
        <w:t>dysponuje danymi zebranymi w trakcie przep</w:t>
      </w:r>
      <w:r w:rsidR="00432DA4">
        <w:t>r</w:t>
      </w:r>
      <w:r w:rsidR="00B56FB6">
        <w:t>owadzenia s</w:t>
      </w:r>
      <w:r w:rsidR="00432DA4">
        <w:t xml:space="preserve">trategicznej oceny odziaływania na środowisko </w:t>
      </w:r>
      <w:r w:rsidR="00432DA4" w:rsidRPr="00432DA4">
        <w:t>zgodnie z ustawą z dnia 3 października 2008 r. o udostępnianiu informacji o środowisku i jego ochronie, udziale społeczeństwa w ochronie środowiska oraz o ocenach oddziaływania na środowisko (Dz. U. z 202</w:t>
      </w:r>
      <w:r w:rsidR="00CE53B9">
        <w:t>2</w:t>
      </w:r>
      <w:r w:rsidR="00432DA4" w:rsidRPr="00432DA4">
        <w:t xml:space="preserve"> r. poz. </w:t>
      </w:r>
      <w:r w:rsidR="00CE53B9">
        <w:t>1029</w:t>
      </w:r>
      <w:r w:rsidR="00432DA4" w:rsidRPr="00432DA4">
        <w:t>)</w:t>
      </w:r>
      <w:r w:rsidR="00200F8F">
        <w:t>,</w:t>
      </w:r>
      <w:r w:rsidR="00432DA4">
        <w:t xml:space="preserve"> </w:t>
      </w:r>
      <w:r w:rsidR="00B56FB6">
        <w:t>w tym pro</w:t>
      </w:r>
      <w:r w:rsidR="00432DA4">
        <w:t>g</w:t>
      </w:r>
      <w:r w:rsidR="00B56FB6">
        <w:t xml:space="preserve">nozą oddziaływania na </w:t>
      </w:r>
      <w:r w:rsidR="00432DA4">
        <w:t>ś</w:t>
      </w:r>
      <w:r w:rsidR="00B56FB6">
        <w:t xml:space="preserve">rodowisko </w:t>
      </w:r>
      <w:r w:rsidRPr="00BC4C46">
        <w:t xml:space="preserve">we fragmencie lasu planowanym do objęcia działaniami </w:t>
      </w:r>
      <w:r w:rsidR="003E0C1F">
        <w:t>z zakresu gospodarki leśnej</w:t>
      </w:r>
      <w:r w:rsidRPr="00BC4C46">
        <w:t>;</w:t>
      </w:r>
    </w:p>
    <w:p w14:paraId="4C4CFB51" w14:textId="4D993C6E" w:rsidR="00BC4C46" w:rsidRPr="00BC4C46" w:rsidRDefault="00BC4C46" w:rsidP="003F2259">
      <w:pPr>
        <w:pStyle w:val="PKTpunkt"/>
      </w:pPr>
      <w:r w:rsidRPr="00BC4C46">
        <w:lastRenderedPageBreak/>
        <w:t xml:space="preserve">2) </w:t>
      </w:r>
      <w:r w:rsidR="00DD6361">
        <w:tab/>
      </w:r>
      <w:r w:rsidRPr="00BC4C46">
        <w:t xml:space="preserve">od oznakowania drzew dziuplastych w sposób, o którym mowa w ust. 1 pkt 2 lit. c tiret pierwsze, jeżeli w inny sposób zapewni </w:t>
      </w:r>
      <w:r w:rsidR="00B56FB6">
        <w:t xml:space="preserve">możliwość rozpoznania </w:t>
      </w:r>
      <w:r w:rsidRPr="00BC4C46">
        <w:t>tych drzew przez wykonawcę działań z zakresu gospodarki leśnej.</w:t>
      </w:r>
    </w:p>
    <w:p w14:paraId="40522020" w14:textId="77777777" w:rsidR="00BC4C46" w:rsidRPr="00BC4C46" w:rsidRDefault="00BC4C46" w:rsidP="003F2259">
      <w:pPr>
        <w:pStyle w:val="USTustnpkodeksu"/>
      </w:pPr>
      <w:r w:rsidRPr="00BC4C46">
        <w:t>3. Przez potencjalne miejsce występowania gatunków, o których mowa w ust. 1 pkt 2 lit. a i b,  rozumie się lokalizacje, w których występowanie tych gatunków było stwierdzone na podstawie dostępnych danych i prawdopodobnie w danym miejscu ten gatunek występuje, natomiast jego obecność nie została stwierdzona w czasie dokonywania wizji terenowej, o której mowa w ust. 1 pkt 2 lit. b.</w:t>
      </w:r>
    </w:p>
    <w:p w14:paraId="29A75354" w14:textId="405D413B" w:rsidR="00BC4C46" w:rsidRPr="00BC4C46" w:rsidRDefault="00BC4C46" w:rsidP="003F2259">
      <w:pPr>
        <w:pStyle w:val="ARTartustawynprozporzdzenia"/>
      </w:pPr>
      <w:r w:rsidRPr="00DD6361">
        <w:rPr>
          <w:rStyle w:val="Ppogrubienie"/>
        </w:rPr>
        <w:t>§ 3.</w:t>
      </w:r>
      <w:r w:rsidR="00DD6361">
        <w:tab/>
      </w:r>
      <w:r w:rsidRPr="00BC4C46">
        <w:t>Na etapie realizacji działań z zakresu gospodarki leśnej:</w:t>
      </w:r>
    </w:p>
    <w:p w14:paraId="13347FFB" w14:textId="03B69CA5" w:rsidR="00BC4C46" w:rsidRPr="00BC4C46" w:rsidRDefault="003F2259" w:rsidP="003F2259">
      <w:pPr>
        <w:pStyle w:val="PKTpunkt"/>
      </w:pPr>
      <w:r>
        <w:t>1)</w:t>
      </w:r>
      <w:r>
        <w:tab/>
      </w:r>
      <w:r w:rsidR="00BC4C46" w:rsidRPr="00BC4C46">
        <w:t xml:space="preserve">działania te nie mogą spowodować: </w:t>
      </w:r>
    </w:p>
    <w:p w14:paraId="601E7814" w14:textId="199D9F04" w:rsidR="00BC4C46" w:rsidRPr="00BC4C46" w:rsidRDefault="003F2259" w:rsidP="003F2259">
      <w:pPr>
        <w:pStyle w:val="LITlitera"/>
      </w:pPr>
      <w:r>
        <w:t>a)</w:t>
      </w:r>
      <w:r>
        <w:tab/>
      </w:r>
      <w:r w:rsidR="00BC4C46" w:rsidRPr="00BC4C46">
        <w:t>celowego chwytania i zabijania dziko występujących okazów gatunków</w:t>
      </w:r>
      <w:r w:rsidR="00EF5982">
        <w:t xml:space="preserve"> zwierząt</w:t>
      </w:r>
      <w:r w:rsidR="00BC4C46" w:rsidRPr="00BC4C46">
        <w:t>, o których mowa w załączniku IVa dyrektywy Rady 92/43/EWG, oraz celowego niszczenia lub wybierania jaj okazów tych gatunków,</w:t>
      </w:r>
    </w:p>
    <w:p w14:paraId="0BF18471" w14:textId="72193CB3" w:rsidR="00BC4C46" w:rsidRPr="00BC4C46" w:rsidRDefault="003F2259" w:rsidP="003F2259">
      <w:pPr>
        <w:pStyle w:val="LITlitera"/>
      </w:pPr>
      <w:r>
        <w:t>b)</w:t>
      </w:r>
      <w:r>
        <w:tab/>
      </w:r>
      <w:r w:rsidR="00BC4C46" w:rsidRPr="00BC4C46">
        <w:t>celowego zrywania, zbierania, ścinania, wyrywania lub niszczenia dziko występujących okazów gatunków</w:t>
      </w:r>
      <w:r w:rsidR="00EF5982">
        <w:t xml:space="preserve"> roślin</w:t>
      </w:r>
      <w:r w:rsidR="00BC4C46" w:rsidRPr="00BC4C46">
        <w:t>, o których mowa w załączniku IVb dyrektywy Rady 92/43/EWG,</w:t>
      </w:r>
      <w:r w:rsidR="00A55708">
        <w:t xml:space="preserve"> w ich naturalnym zasięgu,</w:t>
      </w:r>
    </w:p>
    <w:p w14:paraId="4B72891D" w14:textId="0AB02E51" w:rsidR="00BC4C46" w:rsidRPr="00BC4C46" w:rsidRDefault="0023678F" w:rsidP="0023678F">
      <w:pPr>
        <w:pStyle w:val="LITlitera"/>
      </w:pPr>
      <w:r>
        <w:t>c)</w:t>
      </w:r>
      <w:r>
        <w:tab/>
      </w:r>
      <w:r w:rsidR="00BC4C46" w:rsidRPr="00BC4C46">
        <w:t>umyślnego zabijania gatunków ptaków</w:t>
      </w:r>
      <w:r w:rsidR="00432DA4">
        <w:t xml:space="preserve"> objętych ochroną</w:t>
      </w:r>
      <w:r w:rsidR="00BC4C46" w:rsidRPr="00BC4C46">
        <w:t>;</w:t>
      </w:r>
    </w:p>
    <w:p w14:paraId="040301DE" w14:textId="425E603E" w:rsidR="00BC4C46" w:rsidRPr="00BC4C46" w:rsidRDefault="0023678F" w:rsidP="0023678F">
      <w:pPr>
        <w:pStyle w:val="PKTpunkt"/>
      </w:pPr>
      <w:r>
        <w:t>2)</w:t>
      </w:r>
      <w:r>
        <w:tab/>
      </w:r>
      <w:r w:rsidR="00BC4C46" w:rsidRPr="00BC4C46">
        <w:t>działania te należy prowadzić tak, aby:</w:t>
      </w:r>
    </w:p>
    <w:p w14:paraId="026B5D72" w14:textId="6BF58392" w:rsidR="00BC4C46" w:rsidRPr="00BC4C46" w:rsidRDefault="0023678F" w:rsidP="0023678F">
      <w:pPr>
        <w:pStyle w:val="LITlitera"/>
      </w:pPr>
      <w:r>
        <w:t>a)</w:t>
      </w:r>
      <w:r>
        <w:tab/>
      </w:r>
      <w:r w:rsidR="00BC4C46" w:rsidRPr="00BC4C46">
        <w:t xml:space="preserve">uniknąć umyślnego płoszenia lub </w:t>
      </w:r>
      <w:r w:rsidR="00EF5982">
        <w:t xml:space="preserve">celowego </w:t>
      </w:r>
      <w:r w:rsidR="00BC4C46" w:rsidRPr="00BC4C46">
        <w:t xml:space="preserve">niepokojenia zwierząt gatunków, o których mowa w </w:t>
      </w:r>
      <w:r w:rsidR="00387EE1">
        <w:t>załączniku IVa</w:t>
      </w:r>
      <w:r w:rsidR="00387EE1" w:rsidRPr="00BC4C46">
        <w:t xml:space="preserve"> dyrektywy Rady 92/43/EWG</w:t>
      </w:r>
      <w:r w:rsidR="00BC4C46" w:rsidRPr="00BC4C46">
        <w:t>, jak również gatunków ptaków</w:t>
      </w:r>
      <w:r w:rsidR="00432DA4">
        <w:t xml:space="preserve"> objętych ochroną</w:t>
      </w:r>
      <w:r w:rsidR="00BC4C46" w:rsidRPr="00BC4C46">
        <w:t>, jeżeli mogłoby to wpłynąć na zachowanie właściwego stanu ochrony gatunku tych ptaków</w:t>
      </w:r>
      <w:r w:rsidR="00432DA4">
        <w:t>;</w:t>
      </w:r>
    </w:p>
    <w:p w14:paraId="6D5AECDD" w14:textId="78BFB54C" w:rsidR="00BC4C46" w:rsidRPr="00BC4C46" w:rsidRDefault="003E0C1F" w:rsidP="0023678F">
      <w:pPr>
        <w:pStyle w:val="LITlitera"/>
      </w:pPr>
      <w:r>
        <w:t>b</w:t>
      </w:r>
      <w:r w:rsidR="0023678F">
        <w:t>)</w:t>
      </w:r>
      <w:r w:rsidR="0023678F">
        <w:tab/>
      </w:r>
      <w:r w:rsidR="00BC4C46" w:rsidRPr="00BC4C46">
        <w:t xml:space="preserve">uniknąć umyślnego niszczenia lub uszkadzania gniazd i jaj </w:t>
      </w:r>
      <w:r w:rsidR="005E7FE7">
        <w:t xml:space="preserve">gatunków </w:t>
      </w:r>
      <w:r w:rsidR="00BC4C46" w:rsidRPr="00BC4C46">
        <w:t>ptaków</w:t>
      </w:r>
      <w:r w:rsidR="00544EFE">
        <w:t xml:space="preserve"> </w:t>
      </w:r>
      <w:r w:rsidR="00432DA4">
        <w:t xml:space="preserve">objętych ochroną </w:t>
      </w:r>
      <w:r w:rsidR="00BC4C46" w:rsidRPr="00BC4C46">
        <w:t>lub usuwania</w:t>
      </w:r>
      <w:r w:rsidR="005E7FE7">
        <w:t xml:space="preserve"> tych</w:t>
      </w:r>
      <w:r w:rsidR="00BC4C46" w:rsidRPr="00BC4C46">
        <w:t xml:space="preserve"> gniazd,</w:t>
      </w:r>
    </w:p>
    <w:p w14:paraId="543DC2CF" w14:textId="144EE251" w:rsidR="00BC4C46" w:rsidRPr="00BC4C46" w:rsidRDefault="003E0C1F" w:rsidP="0023678F">
      <w:pPr>
        <w:pStyle w:val="LITlitera"/>
      </w:pPr>
      <w:r>
        <w:t>c</w:t>
      </w:r>
      <w:r w:rsidR="0023678F">
        <w:t>)</w:t>
      </w:r>
      <w:r w:rsidR="0023678F">
        <w:tab/>
      </w:r>
      <w:r w:rsidR="00BC4C46" w:rsidRPr="00BC4C46">
        <w:t xml:space="preserve">wypełniać obowiązki, o których mowa w art. 9 ust. 1, art. 13 ust. 1 i art. 14 ust. 4 ustawy </w:t>
      </w:r>
      <w:r w:rsidR="000653BB">
        <w:t xml:space="preserve">z dnia 28 września 1991 </w:t>
      </w:r>
      <w:r w:rsidR="00BC4C46" w:rsidRPr="00BC4C46">
        <w:t>o lasach</w:t>
      </w:r>
      <w:r w:rsidR="000653BB">
        <w:t xml:space="preserve"> (Dz. U. z 2022 r. poz. 672)</w:t>
      </w:r>
      <w:r w:rsidR="00BC4C46" w:rsidRPr="00BC4C46">
        <w:t>;</w:t>
      </w:r>
    </w:p>
    <w:p w14:paraId="60676806" w14:textId="2F972AF2" w:rsidR="00BC4C46" w:rsidRPr="00BC4C46" w:rsidRDefault="0023678F" w:rsidP="0023678F">
      <w:pPr>
        <w:pStyle w:val="PKTpunkt"/>
      </w:pPr>
      <w:r>
        <w:t>3)</w:t>
      </w:r>
      <w:r>
        <w:tab/>
      </w:r>
      <w:r w:rsidR="00BC4C46" w:rsidRPr="00BC4C46">
        <w:t xml:space="preserve">nie niszczy się lub nie uszkadza </w:t>
      </w:r>
      <w:r w:rsidR="00D451F8" w:rsidRPr="00BC4C46">
        <w:t>zasiedlon</w:t>
      </w:r>
      <w:r w:rsidR="00D451F8">
        <w:t>ych</w:t>
      </w:r>
      <w:r w:rsidR="00D451F8" w:rsidRPr="00BC4C46">
        <w:t xml:space="preserve"> stanowisk rozrodcz</w:t>
      </w:r>
      <w:r w:rsidR="00D451F8">
        <w:t>ych</w:t>
      </w:r>
      <w:r w:rsidR="00BC4C46" w:rsidRPr="00BC4C46">
        <w:t>, któr</w:t>
      </w:r>
      <w:r w:rsidR="00D451F8">
        <w:t>e</w:t>
      </w:r>
      <w:r w:rsidR="00BC4C46" w:rsidRPr="00BC4C46">
        <w:t xml:space="preserve"> zostały </w:t>
      </w:r>
      <w:r w:rsidR="00432DA4">
        <w:t xml:space="preserve">oznakowane </w:t>
      </w:r>
      <w:r w:rsidR="00BC4C46" w:rsidRPr="00BC4C46">
        <w:t xml:space="preserve">podczas wizji terenowej, o której mowa w § 2 ust. 1 pkt 2 lit. b. </w:t>
      </w:r>
    </w:p>
    <w:p w14:paraId="7A0E8C70" w14:textId="4507D954" w:rsidR="00BC4C46" w:rsidRPr="00BC4C46" w:rsidRDefault="00BC4C46" w:rsidP="0023678F">
      <w:pPr>
        <w:pStyle w:val="ARTartustawynprozporzdzenia"/>
      </w:pPr>
      <w:r w:rsidRPr="00DD6361">
        <w:rPr>
          <w:rStyle w:val="Ppogrubienie"/>
        </w:rPr>
        <w:t>§ 4.</w:t>
      </w:r>
      <w:r w:rsidRPr="00BC4C46">
        <w:t xml:space="preserve"> W celu zapewnienia ochrony gatunków</w:t>
      </w:r>
      <w:r w:rsidR="003E4245">
        <w:t xml:space="preserve"> określonych w przepisach wydanych na podstawie</w:t>
      </w:r>
      <w:r w:rsidRPr="00BC4C46">
        <w:t xml:space="preserve"> art. 48 i </w:t>
      </w:r>
      <w:r w:rsidR="003E4245">
        <w:t xml:space="preserve">art. </w:t>
      </w:r>
      <w:r w:rsidRPr="00BC4C46">
        <w:t>49 ustawy z dnia 16 kwietnia 2004 r. o ochronie przyrody, w szczególności wymienionych w załączniku IV dyrektywy Rady 92/43/EWG</w:t>
      </w:r>
      <w:r w:rsidR="00C35E32">
        <w:t>,</w:t>
      </w:r>
      <w:r w:rsidRPr="00BC4C46">
        <w:t xml:space="preserve"> oraz gatunków ptaków</w:t>
      </w:r>
      <w:r w:rsidR="00432DA4">
        <w:t xml:space="preserve"> objętych ochroną</w:t>
      </w:r>
      <w:r w:rsidR="00AC1EB2">
        <w:t xml:space="preserve">, </w:t>
      </w:r>
      <w:r w:rsidRPr="00BC4C46">
        <w:t>stosuje się następujące działania z zakresu gospodarki leśnej:</w:t>
      </w:r>
    </w:p>
    <w:p w14:paraId="1B2E91DC" w14:textId="7F99F1DC" w:rsidR="00BC4C46" w:rsidRPr="00BC4C46" w:rsidRDefault="0023678F" w:rsidP="0023678F">
      <w:pPr>
        <w:pStyle w:val="PKTpunkt"/>
      </w:pPr>
      <w:r>
        <w:lastRenderedPageBreak/>
        <w:t>1)</w:t>
      </w:r>
      <w:r>
        <w:tab/>
      </w:r>
      <w:r w:rsidR="00BC4C46" w:rsidRPr="00BC4C46">
        <w:t>martwe drzewa pozostawia się w celu zapewnienia ciągłości występowania martwego drewna; należy dążyć do osiągnięcia średniego poziomu około 3–5 martwych drzew w przeliczeniu na 1 ha powierzchni leśnej, pozostawiając w miarę możliwości drzewa o największym potencjale biocenotycznym, przy czym ilość pozostawionego martwego drewna nie może stwarzać:</w:t>
      </w:r>
    </w:p>
    <w:p w14:paraId="649E716C" w14:textId="71ED1F21" w:rsidR="00BC4C46" w:rsidRPr="00BC4C46" w:rsidRDefault="00BC4C46" w:rsidP="0023678F">
      <w:pPr>
        <w:pStyle w:val="LITlitera"/>
      </w:pPr>
      <w:r w:rsidRPr="00BC4C46">
        <w:t>a)</w:t>
      </w:r>
      <w:r w:rsidR="0023678F">
        <w:tab/>
      </w:r>
      <w:r w:rsidRPr="00BC4C46">
        <w:t xml:space="preserve">zagrożenia pożarowego, </w:t>
      </w:r>
    </w:p>
    <w:p w14:paraId="2D722788" w14:textId="3A093F00" w:rsidR="00BC4C46" w:rsidRPr="00BC4C46" w:rsidRDefault="00BC4C46" w:rsidP="0023678F">
      <w:pPr>
        <w:pStyle w:val="LITlitera"/>
      </w:pPr>
      <w:r w:rsidRPr="00BC4C46">
        <w:t>b)</w:t>
      </w:r>
      <w:r w:rsidR="0023678F">
        <w:tab/>
      </w:r>
      <w:r w:rsidRPr="00BC4C46">
        <w:t>ryzyka masowego wystąpienia szkodliwych czynników biotycznych,</w:t>
      </w:r>
    </w:p>
    <w:p w14:paraId="0F636A72" w14:textId="3C017F38" w:rsidR="00BC4C46" w:rsidRPr="00BC4C46" w:rsidRDefault="00BC4C46" w:rsidP="0023678F">
      <w:pPr>
        <w:pStyle w:val="LITlitera"/>
      </w:pPr>
      <w:r w:rsidRPr="00BC4C46">
        <w:t>c)</w:t>
      </w:r>
      <w:r w:rsidR="0023678F">
        <w:tab/>
      </w:r>
      <w:r w:rsidRPr="00BC4C46">
        <w:t xml:space="preserve">zagrożenia dla bezpieczeństwa ludzi i mienia, z tym że w przypadku wystąpienia takiego zagrożenia należy pozostawić obalone martwe drzewa; </w:t>
      </w:r>
    </w:p>
    <w:p w14:paraId="73F74950" w14:textId="22CD914A" w:rsidR="00BC4C46" w:rsidRPr="00BC4C46" w:rsidRDefault="0023678F" w:rsidP="0023678F">
      <w:pPr>
        <w:pStyle w:val="PKTpunkt"/>
      </w:pPr>
      <w:r>
        <w:t>2)</w:t>
      </w:r>
      <w:r>
        <w:tab/>
      </w:r>
      <w:r w:rsidR="00BC4C46" w:rsidRPr="00BC4C46">
        <w:t>koryt cieków naturalnych nie wykorzystuje się do zrywki drewna;</w:t>
      </w:r>
    </w:p>
    <w:p w14:paraId="70C48137" w14:textId="21CDBDFA" w:rsidR="00BC4C46" w:rsidRPr="00BC4C46" w:rsidRDefault="0023678F" w:rsidP="0023678F">
      <w:pPr>
        <w:pStyle w:val="PKTpunkt"/>
      </w:pPr>
      <w:r>
        <w:t>3)</w:t>
      </w:r>
      <w:r>
        <w:tab/>
      </w:r>
      <w:r w:rsidR="00BC4C46" w:rsidRPr="00BC4C46">
        <w:t xml:space="preserve">w </w:t>
      </w:r>
      <w:r w:rsidR="005F1D00">
        <w:t xml:space="preserve">pasie o szerokości </w:t>
      </w:r>
      <w:r w:rsidR="00BC4C46" w:rsidRPr="00BC4C46">
        <w:t>10 metrów od linii brzegu naturalnych cieków i zbiorników wodnych należy pozostawiać:</w:t>
      </w:r>
    </w:p>
    <w:p w14:paraId="3D9DFE43" w14:textId="4FC67292" w:rsidR="00BC4C46" w:rsidRPr="00BC4C46" w:rsidRDefault="0023678F" w:rsidP="0023678F">
      <w:pPr>
        <w:pStyle w:val="LITlitera"/>
      </w:pPr>
      <w:r>
        <w:t>a)</w:t>
      </w:r>
      <w:r>
        <w:tab/>
      </w:r>
      <w:r w:rsidR="00BC4C46" w:rsidRPr="00BC4C46">
        <w:t>zwalone pnie drzew,</w:t>
      </w:r>
    </w:p>
    <w:p w14:paraId="71301DBD" w14:textId="5DB0098A" w:rsidR="00BC4C46" w:rsidRPr="00BC4C46" w:rsidRDefault="0023678F" w:rsidP="0023678F">
      <w:pPr>
        <w:pStyle w:val="LITlitera"/>
      </w:pPr>
      <w:r>
        <w:t>b)</w:t>
      </w:r>
      <w:r>
        <w:tab/>
      </w:r>
      <w:r w:rsidR="00BC4C46" w:rsidRPr="00BC4C46">
        <w:t>podszyt,</w:t>
      </w:r>
    </w:p>
    <w:p w14:paraId="5DF1CDD9" w14:textId="31618358" w:rsidR="00BC4C46" w:rsidRPr="00BC4C46" w:rsidRDefault="0023678F" w:rsidP="0023678F">
      <w:pPr>
        <w:pStyle w:val="LITlitera"/>
      </w:pPr>
      <w:r>
        <w:t>c)</w:t>
      </w:r>
      <w:r>
        <w:tab/>
      </w:r>
      <w:r w:rsidR="00BC4C46" w:rsidRPr="00BC4C46">
        <w:t>duże kamienie w celu ułatwienia zwierzętom dostępu do wody oraz migracji zwierząt;</w:t>
      </w:r>
    </w:p>
    <w:p w14:paraId="2072F725" w14:textId="608E9D0E" w:rsidR="00BC4C46" w:rsidRPr="00BC4C46" w:rsidRDefault="0023678F" w:rsidP="0023678F">
      <w:pPr>
        <w:pStyle w:val="PKTpunkt"/>
      </w:pPr>
      <w:r>
        <w:t>4)</w:t>
      </w:r>
      <w:r>
        <w:tab/>
      </w:r>
      <w:r w:rsidR="00BC4C46" w:rsidRPr="00BC4C46">
        <w:t xml:space="preserve">nie należy stosować </w:t>
      </w:r>
      <w:r w:rsidR="002D6BA1">
        <w:t>rębni</w:t>
      </w:r>
      <w:r w:rsidR="002D6BA1" w:rsidRPr="00BC4C46">
        <w:t xml:space="preserve"> </w:t>
      </w:r>
      <w:r w:rsidR="00BC4C46" w:rsidRPr="00BC4C46">
        <w:t xml:space="preserve">zupełnych </w:t>
      </w:r>
      <w:r w:rsidR="003E0C1F">
        <w:t xml:space="preserve">oraz rębni gniazdowych </w:t>
      </w:r>
      <w:r w:rsidR="00BC4C46" w:rsidRPr="00BC4C46">
        <w:t xml:space="preserve">w </w:t>
      </w:r>
      <w:r w:rsidR="005F1D00">
        <w:t xml:space="preserve">pasie o szerokości </w:t>
      </w:r>
      <w:r w:rsidR="00BC4C46" w:rsidRPr="00BC4C46">
        <w:t>25 m od</w:t>
      </w:r>
      <w:r w:rsidR="005F1D00">
        <w:t xml:space="preserve"> linii brzegu</w:t>
      </w:r>
      <w:r w:rsidR="00BC4C46" w:rsidRPr="00BC4C46">
        <w:t xml:space="preserve"> </w:t>
      </w:r>
      <w:r w:rsidR="003E0C1F">
        <w:t xml:space="preserve">naturalnych </w:t>
      </w:r>
      <w:r w:rsidR="00BC4C46" w:rsidRPr="00BC4C46">
        <w:t>cieków i zbiorników wodnych;</w:t>
      </w:r>
    </w:p>
    <w:p w14:paraId="757FFCD6" w14:textId="7F118787" w:rsidR="00BC4C46" w:rsidRPr="00BC4C46" w:rsidRDefault="0023678F" w:rsidP="0023678F">
      <w:pPr>
        <w:pStyle w:val="PKTpunkt"/>
      </w:pPr>
      <w:r>
        <w:t>5)</w:t>
      </w:r>
      <w:r>
        <w:tab/>
      </w:r>
      <w:r w:rsidR="00BC4C46" w:rsidRPr="00BC4C46">
        <w:t>nie należy stosować cięć zupełnych w miejscach pamięci narodowej i kultu religijnego;</w:t>
      </w:r>
    </w:p>
    <w:p w14:paraId="4A139900" w14:textId="18BD5B79" w:rsidR="00BC4C46" w:rsidRPr="00BC4C46" w:rsidRDefault="0023678F" w:rsidP="0023678F">
      <w:pPr>
        <w:pStyle w:val="PKTpunkt"/>
      </w:pPr>
      <w:r>
        <w:t>6)</w:t>
      </w:r>
      <w:r>
        <w:tab/>
      </w:r>
      <w:r w:rsidR="00BC4C46" w:rsidRPr="00BC4C46">
        <w:t>w miejscach, o których mowa w pkt 4, zaleca się pozostawianie stref buforowych lub ich tworzenie, w szczególności przez sadzenie krzewów w razie ich braku oraz pielęgnowanie lasu;</w:t>
      </w:r>
    </w:p>
    <w:p w14:paraId="6CE16732" w14:textId="5861CAB0" w:rsidR="00BC4C46" w:rsidRPr="00BC4C46" w:rsidRDefault="0023678F" w:rsidP="0023678F">
      <w:pPr>
        <w:pStyle w:val="PKTpunkt"/>
      </w:pPr>
      <w:r>
        <w:t>7)</w:t>
      </w:r>
      <w:r>
        <w:tab/>
      </w:r>
      <w:r w:rsidR="00BC4C46" w:rsidRPr="00BC4C46">
        <w:t>wszędzie tam, gdzie wymagają tego środki techniczne planowane do zastosowania</w:t>
      </w:r>
      <w:r w:rsidR="00BC4C46" w:rsidRPr="00BC4C46">
        <w:br/>
        <w:t>przy pracach pielęgnacyjnych, a także podczas pozyskania i zrywki drewna,</w:t>
      </w:r>
      <w:r w:rsidR="00BC4C46" w:rsidRPr="00BC4C46">
        <w:br/>
        <w:t>w drzewostanach wyznacza się szlaki operacyjne w postaci pasów powierzchni leśnej pozbawionej drzew i krzewów, których szerokość i rozmieszczenie umożliwiają prowadzenie prac z zakresu pielęgnowania lasu, pozyskania i zrywki drewna;</w:t>
      </w:r>
    </w:p>
    <w:p w14:paraId="1E40CCF9" w14:textId="3FD38394" w:rsidR="00BC4C46" w:rsidRPr="00BC4C46" w:rsidRDefault="00957D66" w:rsidP="00957D66">
      <w:pPr>
        <w:pStyle w:val="PKTpunkt"/>
      </w:pPr>
      <w:r>
        <w:t>8)</w:t>
      </w:r>
      <w:r>
        <w:tab/>
      </w:r>
      <w:r w:rsidR="00BC4C46" w:rsidRPr="00BC4C46">
        <w:t>szlaki operacyjne należy projektować z wykorzystaniem  istniejących już szlaków operacyjnych</w:t>
      </w:r>
      <w:r w:rsidR="00FB725A">
        <w:t xml:space="preserve"> lub</w:t>
      </w:r>
      <w:r w:rsidR="00BC4C46" w:rsidRPr="00BC4C46">
        <w:t xml:space="preserve"> luk w drzewostanie</w:t>
      </w:r>
      <w:r w:rsidR="00FB725A">
        <w:t>,</w:t>
      </w:r>
      <w:r w:rsidR="00BC4C46" w:rsidRPr="00BC4C46">
        <w:t xml:space="preserve"> w odległości minimum 10 metrów od linii brzegu naturalnych cieków i zbiorników wodnych;</w:t>
      </w:r>
    </w:p>
    <w:p w14:paraId="37041DD6" w14:textId="35265E14" w:rsidR="00BC4C46" w:rsidRPr="00BC4C46" w:rsidRDefault="00957D66" w:rsidP="00957D66">
      <w:pPr>
        <w:pStyle w:val="PKTpunkt"/>
      </w:pPr>
      <w:r>
        <w:t>9)</w:t>
      </w:r>
      <w:r>
        <w:tab/>
      </w:r>
      <w:r w:rsidR="00BC4C46" w:rsidRPr="00BC4C46">
        <w:t>zaleca się zapewnienie udziału w drzewostanach drzew gatunków wczesnosukcesyjnych, w szczególności brzozy, osiki oraz wierzby iwy, w formie domieszek, w udziale dostosowanym do wymagań</w:t>
      </w:r>
      <w:r w:rsidR="00601EF5">
        <w:t xml:space="preserve"> typów </w:t>
      </w:r>
      <w:r w:rsidR="00BC4C46" w:rsidRPr="00BC4C46">
        <w:t>siedlisk</w:t>
      </w:r>
      <w:r w:rsidR="00601EF5">
        <w:t>owych lasu oraz siedlisk przyrodniczych</w:t>
      </w:r>
      <w:r w:rsidR="00BC4C46" w:rsidRPr="00BC4C46">
        <w:t>;</w:t>
      </w:r>
    </w:p>
    <w:p w14:paraId="33F9691E" w14:textId="54D16109" w:rsidR="00BC4C46" w:rsidRPr="00BC4C46" w:rsidRDefault="00957D66" w:rsidP="00957D66">
      <w:pPr>
        <w:pStyle w:val="PKTpunkt"/>
      </w:pPr>
      <w:r>
        <w:lastRenderedPageBreak/>
        <w:t>10)</w:t>
      </w:r>
      <w:r>
        <w:tab/>
      </w:r>
      <w:r w:rsidR="00BC4C46" w:rsidRPr="00BC4C46">
        <w:t>enklawy śródleśne, w tym polany i łąki, na których stwierdzono stanowiska gatunków chronionych związanych z terenami otwartymi, należy utrzymywać w niepogorszonym stanie przez</w:t>
      </w:r>
      <w:r w:rsidR="00534FE3">
        <w:t>,</w:t>
      </w:r>
      <w:r w:rsidR="00BC4C46" w:rsidRPr="00BC4C46">
        <w:t xml:space="preserve"> </w:t>
      </w:r>
      <w:r w:rsidR="00534FE3">
        <w:t xml:space="preserve">w razie potrzeby, </w:t>
      </w:r>
      <w:r w:rsidR="00BC4C46" w:rsidRPr="00BC4C46">
        <w:t>usuwanie drzew i krzewów oraz koszenie z usuwaniem biomasy;</w:t>
      </w:r>
    </w:p>
    <w:p w14:paraId="02427D97" w14:textId="47A013D8" w:rsidR="00BC4C46" w:rsidRPr="00957D66" w:rsidRDefault="00957D66" w:rsidP="00957D66">
      <w:pPr>
        <w:pStyle w:val="PKTpunkt"/>
      </w:pPr>
      <w:r w:rsidRPr="00957D66">
        <w:t>11)</w:t>
      </w:r>
      <w:r w:rsidRPr="00957D66">
        <w:tab/>
      </w:r>
      <w:r w:rsidR="00BC4C46" w:rsidRPr="00957D66">
        <w:t>wykonując odnowienia i zalesienia należy uwzględniać:</w:t>
      </w:r>
    </w:p>
    <w:p w14:paraId="4BD8CD97" w14:textId="2305DB48" w:rsidR="00BC4C46" w:rsidRPr="00BC4C46" w:rsidRDefault="00957D66" w:rsidP="00957D66">
      <w:pPr>
        <w:pStyle w:val="LITlitera"/>
      </w:pPr>
      <w:r>
        <w:t>a)</w:t>
      </w:r>
      <w:r>
        <w:tab/>
      </w:r>
      <w:r w:rsidR="00BC4C46" w:rsidRPr="00BC4C46">
        <w:t>regionalne uwarunkowania przyrodnicze,</w:t>
      </w:r>
    </w:p>
    <w:p w14:paraId="5753FB7D" w14:textId="5B9D911E" w:rsidR="00BC4C46" w:rsidRPr="00BC4C46" w:rsidRDefault="00957D66" w:rsidP="00957D66">
      <w:pPr>
        <w:pStyle w:val="LITlitera"/>
      </w:pPr>
      <w:r>
        <w:t>b)</w:t>
      </w:r>
      <w:r>
        <w:tab/>
      </w:r>
      <w:r w:rsidR="00BC4C46" w:rsidRPr="00BC4C46">
        <w:t>warunki siedliskowe i stan środowiska przyrodniczego,</w:t>
      </w:r>
    </w:p>
    <w:p w14:paraId="4BE3CEE3" w14:textId="5F287E5A" w:rsidR="00BC4C46" w:rsidRPr="00BC4C46" w:rsidRDefault="00957D66" w:rsidP="00957D66">
      <w:pPr>
        <w:pStyle w:val="LITlitera"/>
      </w:pPr>
      <w:r>
        <w:t>c)</w:t>
      </w:r>
      <w:r>
        <w:tab/>
      </w:r>
      <w:r w:rsidR="00534FE3">
        <w:t>lata dobrego urodzaju nasion</w:t>
      </w:r>
      <w:r w:rsidR="00BC4C46" w:rsidRPr="00BC4C46">
        <w:t>;</w:t>
      </w:r>
    </w:p>
    <w:p w14:paraId="7D84CA8E" w14:textId="7C69ACDE" w:rsidR="00BC4C46" w:rsidRPr="00BC4C46" w:rsidRDefault="00957D66" w:rsidP="00957D66">
      <w:pPr>
        <w:pStyle w:val="PKTpunkt"/>
      </w:pPr>
      <w:r>
        <w:t>12)</w:t>
      </w:r>
      <w:r>
        <w:tab/>
      </w:r>
      <w:r w:rsidR="00BC4C46" w:rsidRPr="00BC4C46">
        <w:t xml:space="preserve">przed wykonaniem prac związanych z użytkowaniem rębnym należy wybrać rodzaj cięć odpowiedni do planowanego sposobu odnowienia: naturalnego albo </w:t>
      </w:r>
      <w:r w:rsidR="00534FE3">
        <w:t>z sadzenia lub siewu</w:t>
      </w:r>
      <w:r w:rsidR="00BC4C46" w:rsidRPr="00BC4C46">
        <w:t>;</w:t>
      </w:r>
    </w:p>
    <w:p w14:paraId="6A5B9F99" w14:textId="0D21C96C" w:rsidR="00BC4C46" w:rsidRPr="00BC4C46" w:rsidRDefault="00957D66" w:rsidP="00957D66">
      <w:pPr>
        <w:pStyle w:val="PKTpunkt"/>
      </w:pPr>
      <w:r>
        <w:t>13)</w:t>
      </w:r>
      <w:r>
        <w:tab/>
      </w:r>
      <w:r w:rsidR="00BC4C46" w:rsidRPr="00BC4C46">
        <w:t>odnowienie naturalne należy stosować w pierwszej kolejności tam, gdzie:</w:t>
      </w:r>
    </w:p>
    <w:p w14:paraId="58068DB7" w14:textId="1B549091" w:rsidR="00BC4C46" w:rsidRPr="00BC4C46" w:rsidRDefault="00957D66" w:rsidP="00957D66">
      <w:pPr>
        <w:pStyle w:val="LITlitera"/>
      </w:pPr>
      <w:r>
        <w:t>a)</w:t>
      </w:r>
      <w:r>
        <w:tab/>
      </w:r>
      <w:r w:rsidR="00BC4C46" w:rsidRPr="00BC4C46">
        <w:t>drzewostan macierzysty, z którego ma powstać samosiew, jest pełnowartościowy i składa się z gatunków, które są pożądane w tym samym miejscu,</w:t>
      </w:r>
    </w:p>
    <w:p w14:paraId="0E779D38" w14:textId="093DF841" w:rsidR="00BC4C46" w:rsidRPr="00BC4C46" w:rsidRDefault="00957D66" w:rsidP="00957D66">
      <w:pPr>
        <w:pStyle w:val="LITlitera"/>
      </w:pPr>
      <w:r>
        <w:t>b)</w:t>
      </w:r>
      <w:r>
        <w:tab/>
      </w:r>
      <w:r w:rsidR="00BC4C46" w:rsidRPr="00BC4C46">
        <w:t>warunki siedliskowe umożliwiają uzyskanie odnowienia naturalnego,</w:t>
      </w:r>
    </w:p>
    <w:p w14:paraId="1DD72ADD" w14:textId="220EE5D2" w:rsidR="00BC4C46" w:rsidRPr="00BC4C46" w:rsidRDefault="00957D66" w:rsidP="00957D66">
      <w:pPr>
        <w:pStyle w:val="LITlitera"/>
      </w:pPr>
      <w:r>
        <w:t>c)</w:t>
      </w:r>
      <w:r>
        <w:tab/>
      </w:r>
      <w:r w:rsidR="00BC4C46" w:rsidRPr="00BC4C46">
        <w:t>odnowienie to gwarantuje pokrycie powierzchni uprawy powyżej 50% oraz stabilność drzewostanu;</w:t>
      </w:r>
    </w:p>
    <w:p w14:paraId="629418A1" w14:textId="11CACB0B" w:rsidR="00BC4C46" w:rsidRPr="00BC4C46" w:rsidRDefault="00957D66" w:rsidP="00957D66">
      <w:pPr>
        <w:pStyle w:val="PKTpunkt"/>
      </w:pPr>
      <w:r>
        <w:t>14)</w:t>
      </w:r>
      <w:r>
        <w:tab/>
      </w:r>
      <w:r w:rsidR="00BC4C46" w:rsidRPr="00BC4C46">
        <w:t>w uzasadnionych przypadkach zaleca się stosowanie rębni złożonych z wydłużonym okresem odnowienia;</w:t>
      </w:r>
    </w:p>
    <w:p w14:paraId="6681C91A" w14:textId="042C4E30" w:rsidR="00BC4C46" w:rsidRPr="00BC4C46" w:rsidRDefault="00957D66" w:rsidP="00957D66">
      <w:pPr>
        <w:pStyle w:val="PKTpunkt"/>
      </w:pPr>
      <w:r>
        <w:t>15)</w:t>
      </w:r>
      <w:r>
        <w:tab/>
      </w:r>
      <w:r w:rsidR="00BC4C46" w:rsidRPr="00BC4C46">
        <w:t>w lasach użytkowanych rębniami zupełnymi pozostawia się co najmniej 5% powierzchni drzewostanów do naturalnego obumarcia przez pozostawianie biogrup na zrębach lub większych fragmentów drzewostanów przeznaczonych do użytkowania rębnego, chyba że występują przesłanki, w szczególności duże zagrożenie ze strony organizmów szkodliwych, uzasadniające odstąpienie od tego wymagania; ocenę spełnienia wymagania dokonuje się  w cyklu 10 letnim dla drzewostanów objętych planem urządzenia lasu albo uproszczonym planem urządzenia lasu oraz w cyklu rocznym dla lasów, dla których nie sporządzono tych dokumentów;</w:t>
      </w:r>
    </w:p>
    <w:p w14:paraId="1C0CEAE0" w14:textId="6D9EDEBD" w:rsidR="00BC4C46" w:rsidRPr="00BC4C46" w:rsidRDefault="00957D66" w:rsidP="00957D66">
      <w:pPr>
        <w:pStyle w:val="PKTpunkt"/>
      </w:pPr>
      <w:r>
        <w:t>16)</w:t>
      </w:r>
      <w:r>
        <w:tab/>
      </w:r>
      <w:r w:rsidR="00BC4C46" w:rsidRPr="00BC4C46">
        <w:t xml:space="preserve">zaleca się, aby pozostawiane biogrupy, o których mowa w pkt 15, obejmowały drzewa dziuplaste, drzewa z gniazdami wieloletnimi oraz inne żywe drzewa biocenotyczne, w tym drzewa należące do gatunków uznawanych za długowieczne, martwe drzewa wymienione w pkt </w:t>
      </w:r>
      <w:r w:rsidR="005E7FE7">
        <w:t>1</w:t>
      </w:r>
      <w:r w:rsidR="00BC4C46" w:rsidRPr="00BC4C46">
        <w:t>, podmokłe mikrosiedliska lub inne struktury drzewostanu pełniące lokalnie istotne funkcje biocenotyczne;</w:t>
      </w:r>
    </w:p>
    <w:p w14:paraId="369B5397" w14:textId="183C7AFC" w:rsidR="00BC4C46" w:rsidRPr="00BC4C46" w:rsidRDefault="00957D66" w:rsidP="00957D66">
      <w:pPr>
        <w:pStyle w:val="PKTpunkt"/>
      </w:pPr>
      <w:r>
        <w:t>17)</w:t>
      </w:r>
      <w:r>
        <w:tab/>
      </w:r>
      <w:r w:rsidR="00BC4C46" w:rsidRPr="00BC4C46">
        <w:t xml:space="preserve">w drzewostanach rębnych użytkowanych innymi sposobami cięć niż w pkt 15 pozostawia się 3–5 żywych drzew w przeliczeniu na 1 ha odnawianej powierzchni, przy czym zaleca </w:t>
      </w:r>
      <w:r w:rsidR="00BC4C46" w:rsidRPr="00BC4C46">
        <w:lastRenderedPageBreak/>
        <w:t>się ich grupowanie w ramach nieużytkowanych powierzchni, kierując się odpowiednio zaleceniami określonymi w pkt 16;</w:t>
      </w:r>
    </w:p>
    <w:p w14:paraId="7FE294E1" w14:textId="3C3B1B30" w:rsidR="00BC4C46" w:rsidRPr="00BC4C46" w:rsidRDefault="00957D66" w:rsidP="00957D66">
      <w:pPr>
        <w:pStyle w:val="PKTpunkt"/>
      </w:pPr>
      <w:r>
        <w:t>18)</w:t>
      </w:r>
      <w:r>
        <w:tab/>
      </w:r>
      <w:r w:rsidR="00BC4C46" w:rsidRPr="00BC4C46">
        <w:t>ochrona lasu powinna opierać się o zasadę integrowania metod biologicznych, chemicznych i mechanicznych, przy czym chemiczne metody ochrony lasu mogą być stosowane w szczególności w przypadku braku możliwości lub braku zasadności zastosowania innych metod; przy wyborze środków ochrony roślin należy kierować się bezpieczeństwem ludzi, zwierząt i środowiska;</w:t>
      </w:r>
    </w:p>
    <w:p w14:paraId="32767174" w14:textId="283059E7" w:rsidR="00BC4C46" w:rsidRPr="00BC4C46" w:rsidRDefault="00957D66" w:rsidP="00957D66">
      <w:pPr>
        <w:pStyle w:val="PKTpunkt"/>
      </w:pPr>
      <w:r>
        <w:t>19)</w:t>
      </w:r>
      <w:r>
        <w:tab/>
      </w:r>
      <w:r w:rsidR="00BC4C46" w:rsidRPr="00BC4C46">
        <w:t>jeżeli jest to możliwe, przy uwzględnieniu uwarunkowań gospodarczych, społecznych</w:t>
      </w:r>
      <w:r w:rsidR="00BC4C46" w:rsidRPr="00BC4C46">
        <w:br/>
        <w:t>i kulturowych, zaleca się minimalizację działań związanych z pozyskaniem surowca drzewnego na siedliskach bagiennych lub rezygnację z tych działań.</w:t>
      </w:r>
    </w:p>
    <w:p w14:paraId="04EB3068" w14:textId="44C6FD79" w:rsidR="00BC4C46" w:rsidRPr="00BC4C46" w:rsidRDefault="00BC4C46" w:rsidP="00957D66">
      <w:pPr>
        <w:pStyle w:val="ARTartustawynprozporzdzenia"/>
      </w:pPr>
      <w:r w:rsidRPr="00957D66">
        <w:rPr>
          <w:rStyle w:val="Ppogrubienie"/>
        </w:rPr>
        <w:t>§ 5.</w:t>
      </w:r>
      <w:r w:rsidR="00957D66">
        <w:tab/>
      </w:r>
      <w:r w:rsidRPr="00BC4C46">
        <w:t xml:space="preserve">Rozporządzenie wchodzi w życie </w:t>
      </w:r>
      <w:r w:rsidR="00957B22">
        <w:t>po upływnie 14 dni od dnia ogłoszenia.</w:t>
      </w:r>
    </w:p>
    <w:p w14:paraId="4DACC146" w14:textId="77777777" w:rsidR="00BC4C46" w:rsidRPr="00BC4C46" w:rsidRDefault="00BC4C46" w:rsidP="00BC4C46"/>
    <w:p w14:paraId="0AC0F9E5" w14:textId="77777777" w:rsidR="0043503F" w:rsidRDefault="0043503F" w:rsidP="0043503F"/>
    <w:p w14:paraId="0D42C056" w14:textId="129C2195" w:rsidR="0043503F" w:rsidRPr="0043503F" w:rsidRDefault="0043503F" w:rsidP="0043503F">
      <w:r w:rsidRPr="0043503F">
        <w:t>Za zgodność pod względem prawnym, legislacyjnym i redakcyjnym</w:t>
      </w:r>
    </w:p>
    <w:p w14:paraId="54D966E7" w14:textId="77777777" w:rsidR="0043503F" w:rsidRPr="0043503F" w:rsidRDefault="0043503F" w:rsidP="0043503F">
      <w:r w:rsidRPr="0043503F">
        <w:t>Dyrektor Departamentu Prawnego</w:t>
      </w:r>
    </w:p>
    <w:p w14:paraId="334D8695" w14:textId="77777777" w:rsidR="0043503F" w:rsidRPr="0043503F" w:rsidRDefault="0043503F" w:rsidP="0043503F">
      <w:r w:rsidRPr="0043503F">
        <w:t>w Ministerstwie Klimatu</w:t>
      </w:r>
    </w:p>
    <w:p w14:paraId="4030D3BA" w14:textId="77777777" w:rsidR="0043503F" w:rsidRPr="0043503F" w:rsidRDefault="0043503F" w:rsidP="0043503F">
      <w:r w:rsidRPr="0043503F">
        <w:t>Anna Kozińska-Żywar</w:t>
      </w:r>
    </w:p>
    <w:p w14:paraId="2C3758FE" w14:textId="77777777" w:rsidR="0043503F" w:rsidRPr="0043503F" w:rsidRDefault="0043503F" w:rsidP="0043503F">
      <w:r w:rsidRPr="0043503F">
        <w:t> (- podpisano kwalifikowanym podpisem elektronicznym)</w:t>
      </w:r>
    </w:p>
    <w:p w14:paraId="6A91C090" w14:textId="77777777" w:rsidR="00261A16" w:rsidRPr="00737F6A" w:rsidRDefault="00261A16" w:rsidP="00737F6A"/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C7C7" w14:textId="77777777" w:rsidR="00712240" w:rsidRDefault="00712240">
      <w:r>
        <w:separator/>
      </w:r>
    </w:p>
  </w:endnote>
  <w:endnote w:type="continuationSeparator" w:id="0">
    <w:p w14:paraId="3E1DFE1D" w14:textId="77777777" w:rsidR="00712240" w:rsidRDefault="007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F1E7" w14:textId="77777777" w:rsidR="00712240" w:rsidRDefault="00712240">
      <w:r>
        <w:separator/>
      </w:r>
    </w:p>
  </w:footnote>
  <w:footnote w:type="continuationSeparator" w:id="0">
    <w:p w14:paraId="190A3E2C" w14:textId="77777777" w:rsidR="00712240" w:rsidRDefault="00712240">
      <w:r>
        <w:continuationSeparator/>
      </w:r>
    </w:p>
  </w:footnote>
  <w:footnote w:id="1">
    <w:p w14:paraId="777F7CCF" w14:textId="25216607" w:rsidR="00BC4C46" w:rsidRPr="00853896" w:rsidRDefault="00BC4C46" w:rsidP="00DD6361">
      <w:pPr>
        <w:pStyle w:val="ODNONIKtreodnonika"/>
      </w:pPr>
      <w:r w:rsidRPr="00853896">
        <w:rPr>
          <w:rStyle w:val="Odwoanieprzypisudolnego"/>
          <w:sz w:val="18"/>
          <w:szCs w:val="18"/>
        </w:rPr>
        <w:footnoteRef/>
      </w:r>
      <w:r w:rsidRPr="00853896">
        <w:rPr>
          <w:vertAlign w:val="superscript"/>
        </w:rPr>
        <w:t>)</w:t>
      </w:r>
      <w:r w:rsidRPr="00853896">
        <w:t xml:space="preserve"> </w:t>
      </w:r>
      <w:r w:rsidR="00DD6361">
        <w:tab/>
      </w:r>
      <w:r w:rsidRPr="00C44F02">
        <w:t>Minist</w:t>
      </w:r>
      <w:r>
        <w:t>e</w:t>
      </w:r>
      <w:r w:rsidRPr="00C44F02">
        <w:t>r Klimatu i Środowiska</w:t>
      </w:r>
      <w:r>
        <w:t xml:space="preserve"> kieruje działem administracji rządowej – środowisko, na podstawie § 1 ust. 2 pkt </w:t>
      </w:r>
      <w:r w:rsidR="00F233DD">
        <w:t>3</w:t>
      </w:r>
      <w:r w:rsidRPr="00C44F02">
        <w:t xml:space="preserve"> </w:t>
      </w:r>
      <w:r>
        <w:t>r</w:t>
      </w:r>
      <w:r w:rsidRPr="00C44F02">
        <w:t>ozporządzeni</w:t>
      </w:r>
      <w:r>
        <w:t>a</w:t>
      </w:r>
      <w:r w:rsidRPr="00C44F02">
        <w:t xml:space="preserve"> Prezesa Rady Ministrów</w:t>
      </w:r>
      <w:r w:rsidR="00F233DD">
        <w:t xml:space="preserve"> </w:t>
      </w:r>
      <w:r w:rsidR="00F233DD" w:rsidRPr="00F233DD">
        <w:t>z dnia 27 października 2021 r. w sprawie szczegółowego zakresu działania Ministra Klimatu i Środowiska (Dz. U. poz. 1949</w:t>
      </w:r>
      <w:r w:rsidRPr="00C44F02">
        <w:t>)</w:t>
      </w:r>
      <w:r>
        <w:t>.</w:t>
      </w:r>
    </w:p>
  </w:footnote>
  <w:footnote w:id="2">
    <w:p w14:paraId="70E3FDFE" w14:textId="44DF05B2" w:rsidR="00BC4C46" w:rsidRPr="005055AD" w:rsidRDefault="00BC4C46" w:rsidP="00957D66">
      <w:pPr>
        <w:pStyle w:val="ODNONIKtreodnonika"/>
      </w:pPr>
      <w:r>
        <w:rPr>
          <w:rStyle w:val="Odwoanieprzypisudolnego"/>
        </w:rPr>
        <w:footnoteRef/>
      </w:r>
      <w:r w:rsidRPr="005055AD">
        <w:rPr>
          <w:vertAlign w:val="superscript"/>
        </w:rPr>
        <w:t>)</w:t>
      </w:r>
      <w:r>
        <w:t xml:space="preserve">  </w:t>
      </w:r>
      <w:r w:rsidR="00DD6361">
        <w:tab/>
      </w:r>
      <w:r w:rsidRPr="005055AD">
        <w:rPr>
          <w:lang w:eastAsia="en-US"/>
        </w:rPr>
        <w:t>Zmiany wymienionej dyrektywy zostały ogłoszone w Dz. Urz. WE L 305 z 08.11.1997, str. 42 – Dz. Urz. UE Polskie wydanie specjalne, rozdz. 15, t. 4, str. 3, Dz. Urz. UE L 284 z 31.10.2003, str. 1 – Dz. Urz. UE Polskie wydanie specjalne, rozdz. 1, t. 4, str. 447, Dz. Urz. UE L 363 z 20.12.2006, str. 368, Dz. Urz. UE L 218 z 23.08.2007, str. 15, Dz. Urz. UE L 158 z 10.06.2013, str. 193 oraz Dz. Urz. UE L 111 z 31.03.2021, str. 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DB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1D0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4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0FC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3BB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450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E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944"/>
    <w:rsid w:val="001C1832"/>
    <w:rsid w:val="001C188C"/>
    <w:rsid w:val="001C206D"/>
    <w:rsid w:val="001D1783"/>
    <w:rsid w:val="001D53CD"/>
    <w:rsid w:val="001D55A3"/>
    <w:rsid w:val="001D5AF5"/>
    <w:rsid w:val="001E0BCA"/>
    <w:rsid w:val="001E1E73"/>
    <w:rsid w:val="001E4E0C"/>
    <w:rsid w:val="001E526D"/>
    <w:rsid w:val="001E5655"/>
    <w:rsid w:val="001F0B7C"/>
    <w:rsid w:val="001F1832"/>
    <w:rsid w:val="001F220F"/>
    <w:rsid w:val="001F25B3"/>
    <w:rsid w:val="001F6616"/>
    <w:rsid w:val="00200F8F"/>
    <w:rsid w:val="00202BD4"/>
    <w:rsid w:val="00204A97"/>
    <w:rsid w:val="002114EF"/>
    <w:rsid w:val="00216004"/>
    <w:rsid w:val="002166AD"/>
    <w:rsid w:val="00217871"/>
    <w:rsid w:val="00221ED8"/>
    <w:rsid w:val="002231EA"/>
    <w:rsid w:val="00223FDF"/>
    <w:rsid w:val="002279C0"/>
    <w:rsid w:val="0023678F"/>
    <w:rsid w:val="0023727E"/>
    <w:rsid w:val="00242081"/>
    <w:rsid w:val="00242C06"/>
    <w:rsid w:val="00243777"/>
    <w:rsid w:val="002441CD"/>
    <w:rsid w:val="002501A3"/>
    <w:rsid w:val="0025166C"/>
    <w:rsid w:val="002555D4"/>
    <w:rsid w:val="00261A16"/>
    <w:rsid w:val="00263522"/>
    <w:rsid w:val="00264EC6"/>
    <w:rsid w:val="00266E5F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BA1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EE1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86"/>
    <w:rsid w:val="003B4A57"/>
    <w:rsid w:val="003C0AD9"/>
    <w:rsid w:val="003C0ED0"/>
    <w:rsid w:val="003C1D49"/>
    <w:rsid w:val="003C35C4"/>
    <w:rsid w:val="003D12C2"/>
    <w:rsid w:val="003D31B9"/>
    <w:rsid w:val="003D3867"/>
    <w:rsid w:val="003E0C1F"/>
    <w:rsid w:val="003E0D1A"/>
    <w:rsid w:val="003E2DA3"/>
    <w:rsid w:val="003E4245"/>
    <w:rsid w:val="003F020D"/>
    <w:rsid w:val="003F03D9"/>
    <w:rsid w:val="003F225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2DA4"/>
    <w:rsid w:val="00434D01"/>
    <w:rsid w:val="0043503F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04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BE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7DF"/>
    <w:rsid w:val="00526DFC"/>
    <w:rsid w:val="00526F43"/>
    <w:rsid w:val="00527651"/>
    <w:rsid w:val="00534FE3"/>
    <w:rsid w:val="005363AB"/>
    <w:rsid w:val="00544EF4"/>
    <w:rsid w:val="00544EFE"/>
    <w:rsid w:val="00545E53"/>
    <w:rsid w:val="005479D9"/>
    <w:rsid w:val="005572BD"/>
    <w:rsid w:val="00557A12"/>
    <w:rsid w:val="00560AC7"/>
    <w:rsid w:val="00561AFB"/>
    <w:rsid w:val="00561FA8"/>
    <w:rsid w:val="005635ED"/>
    <w:rsid w:val="0056423B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FE7"/>
    <w:rsid w:val="005F0963"/>
    <w:rsid w:val="005F1D00"/>
    <w:rsid w:val="005F2824"/>
    <w:rsid w:val="005F2EBA"/>
    <w:rsid w:val="005F35ED"/>
    <w:rsid w:val="005F4120"/>
    <w:rsid w:val="005F7812"/>
    <w:rsid w:val="005F7A88"/>
    <w:rsid w:val="00601EF5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54F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AC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D8F"/>
    <w:rsid w:val="00711221"/>
    <w:rsid w:val="0071224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5BA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41E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87F"/>
    <w:rsid w:val="00886B60"/>
    <w:rsid w:val="00887889"/>
    <w:rsid w:val="00891D32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561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46F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9ED"/>
    <w:rsid w:val="00952018"/>
    <w:rsid w:val="00952800"/>
    <w:rsid w:val="0095300D"/>
    <w:rsid w:val="00956812"/>
    <w:rsid w:val="0095719A"/>
    <w:rsid w:val="00957B22"/>
    <w:rsid w:val="00957D66"/>
    <w:rsid w:val="009623E9"/>
    <w:rsid w:val="00963EEB"/>
    <w:rsid w:val="009648BC"/>
    <w:rsid w:val="00964C2F"/>
    <w:rsid w:val="00965F88"/>
    <w:rsid w:val="0098320B"/>
    <w:rsid w:val="009836E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70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FD7"/>
    <w:rsid w:val="00A83676"/>
    <w:rsid w:val="00A83B7B"/>
    <w:rsid w:val="00A84274"/>
    <w:rsid w:val="00A850F3"/>
    <w:rsid w:val="00A864E3"/>
    <w:rsid w:val="00A87A69"/>
    <w:rsid w:val="00A94574"/>
    <w:rsid w:val="00A95936"/>
    <w:rsid w:val="00A96265"/>
    <w:rsid w:val="00A97084"/>
    <w:rsid w:val="00AA1C2C"/>
    <w:rsid w:val="00AA3322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EB2"/>
    <w:rsid w:val="00AC31B5"/>
    <w:rsid w:val="00AC4EA1"/>
    <w:rsid w:val="00AC5381"/>
    <w:rsid w:val="00AC5920"/>
    <w:rsid w:val="00AD0E65"/>
    <w:rsid w:val="00AD2BF2"/>
    <w:rsid w:val="00AD4E90"/>
    <w:rsid w:val="00AD5422"/>
    <w:rsid w:val="00AE38D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F7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FB6"/>
    <w:rsid w:val="00B642FC"/>
    <w:rsid w:val="00B64D26"/>
    <w:rsid w:val="00B64FBB"/>
    <w:rsid w:val="00B6593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4C4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E39"/>
    <w:rsid w:val="00C2363F"/>
    <w:rsid w:val="00C236C8"/>
    <w:rsid w:val="00C260B1"/>
    <w:rsid w:val="00C26E56"/>
    <w:rsid w:val="00C31406"/>
    <w:rsid w:val="00C35E3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95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5D"/>
    <w:rsid w:val="00CD46FA"/>
    <w:rsid w:val="00CD5973"/>
    <w:rsid w:val="00CE31A6"/>
    <w:rsid w:val="00CE53B9"/>
    <w:rsid w:val="00CE57D3"/>
    <w:rsid w:val="00CE7DC4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1F8"/>
    <w:rsid w:val="00D47D7A"/>
    <w:rsid w:val="00D5062B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AB9"/>
    <w:rsid w:val="00D9505D"/>
    <w:rsid w:val="00D953D0"/>
    <w:rsid w:val="00D959F5"/>
    <w:rsid w:val="00D96491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361"/>
    <w:rsid w:val="00DE1554"/>
    <w:rsid w:val="00DE2901"/>
    <w:rsid w:val="00DE590F"/>
    <w:rsid w:val="00DE7DC1"/>
    <w:rsid w:val="00DF3F7E"/>
    <w:rsid w:val="00DF6627"/>
    <w:rsid w:val="00DF7648"/>
    <w:rsid w:val="00E00E29"/>
    <w:rsid w:val="00E02BAB"/>
    <w:rsid w:val="00E04CEB"/>
    <w:rsid w:val="00E060BC"/>
    <w:rsid w:val="00E11420"/>
    <w:rsid w:val="00E132FB"/>
    <w:rsid w:val="00E13A8F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49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982"/>
    <w:rsid w:val="00F00B73"/>
    <w:rsid w:val="00F115CA"/>
    <w:rsid w:val="00F14817"/>
    <w:rsid w:val="00F14EBA"/>
    <w:rsid w:val="00F1510F"/>
    <w:rsid w:val="00F1533A"/>
    <w:rsid w:val="00F15E5A"/>
    <w:rsid w:val="00F17F0A"/>
    <w:rsid w:val="00F233DD"/>
    <w:rsid w:val="00F2668F"/>
    <w:rsid w:val="00F2742F"/>
    <w:rsid w:val="00F2753B"/>
    <w:rsid w:val="00F33F8B"/>
    <w:rsid w:val="00F340B2"/>
    <w:rsid w:val="00F42542"/>
    <w:rsid w:val="00F43390"/>
    <w:rsid w:val="00F443B2"/>
    <w:rsid w:val="00F458D8"/>
    <w:rsid w:val="00F50237"/>
    <w:rsid w:val="00F53596"/>
    <w:rsid w:val="00F5469D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E73"/>
    <w:rsid w:val="00FA7F91"/>
    <w:rsid w:val="00FB121C"/>
    <w:rsid w:val="00FB1CDD"/>
    <w:rsid w:val="00FB1FBF"/>
    <w:rsid w:val="00FB2C2F"/>
    <w:rsid w:val="00FB305C"/>
    <w:rsid w:val="00FB725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D5D7"/>
  <w15:docId w15:val="{EB6C0C1C-570F-49CC-A06F-7F1DA2E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E424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anasza\AppData\Local\Temp\Temp1_szablon_4.0-2(1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0E308-FE5C-4D89-B335-8970BA2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62</TotalTime>
  <Pages>6</Pages>
  <Words>1607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Banaszak Wojciech</dc:creator>
  <cp:lastModifiedBy>Banaszak Wojciech</cp:lastModifiedBy>
  <cp:revision>7</cp:revision>
  <cp:lastPrinted>2012-04-23T06:39:00Z</cp:lastPrinted>
  <dcterms:created xsi:type="dcterms:W3CDTF">2022-05-25T07:10:00Z</dcterms:created>
  <dcterms:modified xsi:type="dcterms:W3CDTF">2022-06-28T13:19:00Z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